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25SER0183</RECORD_ID>
  <DESCR>SEQÜENCIACIÓ NGS PER L'ANÀLISI DE L'EXOMA</DESCR>
  <SUPPLIER>
    <CORPORATENAME/>
    <ADDRESS/>
    <TOWN/>
    <POSTCODE/>
    <TAXIDENTIFICATION/>
    <TELEPHONE/>
    <TELEFAX/>
    <EMAIL/>
  </SUPPLIER>
  <BATCHES>
    <BATCH>
      <BATCHID>NGS</BATCHID>
      <DESCR>SEQÜENCIACIÓ NGS PER L'ANÀLISI DE L'EXOMA</DESCR>
      <MATERIALS>
        <MATERIAL>
          <MATNR>100018135</MATNR>
          <MAKTX>SEQÜENCIACIÓ DE L'EXOMA 
VEURE PPT
</MAKTX>
          <QUANTITY>600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796BCA37-A24C-1EEF-AA98-FB8AB66F049F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